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高压试验变压器测试台的操作说明</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1．变压器测试台开机前将仪器面板上的高压侧和低压侧接线端分别与试品的高压侧和低压对应端相连，仔细检查确认接线无误。仪器只有在测量过程中三相才有输出电压，测量过程开始前、结束后无输出电压和电流，安全可靠。</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2．变压器测试台开机后自动进入主菜单，根据用户需要选择不同的项目依据菜单提示进行测量。在每次测量过程中仪器会自动检查接线有无错误，若接线错误会出现错误提示菜单，测量过程结束。请用户检查接线，重新开始测量过程。</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3变压器测试台．仪器菜单提示中的“按任意键开始测量”（非“复位”键）。</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4变压器测试台．当变比值≥10000时，仪器显示“超出测量量程”，测量过程结束。</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5．变压器测试台在测量过程中，仪器自动保存上一次输入的额定变比值。在输入的额定变比值不变的条件下进行测量，不必重新输入额定变比值。</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6．变压器测试台仪器正在进行测量时，如无异常情况，请不要按“复位”键或关机。</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7．三种参数的输入操作：</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a.额定变比输入</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按“确认”键进入变比输入功能，此时初始值为0000.0, 按“↑”或“↓”键改变光标闪烁位的数字的大小，按“确认”键使光标移到下一位，直到完成变比输入为止。如输入85.987，先按“确认”键出现数值0000.0,按“确认”键变为000.00，再按“确认”键变为00.00，按“↑” 键直到变为80.000，按“确认”键变为83.446，光标移到下一位3上，按“↑” 键直到变为85.446，按“确认”键光标移到下一位4上，按“↑”或“↓”键使4变为9，再按“确认”键，依此类推操作功能键便可完成变比输入。</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b.变压器类型选择</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在进行三相变压器的变比测量时，先按“确认”键进入“变压器变比测量”菜单，如选择“变压器自动测量”此项功能，由用户选择变压器类型, 按“确认”键会出现八种连接方式，操作“↑↓ ← →”键选择所需的正确连接方式后，按“确认”键进行后面的测量工作，组别测量结束后选择“继续”，再进行后面的测量工作；如选择“三相变压器测量”此项功能，则用户应先选择变压器类型（类型选择方法同“变压器自动测量”），类型选择后按“确认”键选择组别（组别的选择方法通过操作“↑↓”完成）以后，才能进行三相变比的测量。</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c.日历时钟设置及修改</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在“主菜单”中选择“仪器功能设置”，进入“仪器功能设置”菜单，在此菜单中选“日期时间设置 ”进入“日期时间设置”页面，根据需要操作“↑↓← → 确认”键，即可完成日历时钟设置及修改。变压器测试台</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8．每次测量结束后，用户可根据需要选择“重复”或“打印”。选择“重复”时，仪器重复进行上次的测量工作，选择“打印”时，仪器自动打印测试信息及测试日期时间。</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9．变压器测试台测量工作完成后，请先关机后再拆线。</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10．测试举例（单相变压器测量）</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在主菜单选择“额定变比输入”，按“确认”键后输入额定变比值（输入额定变比的方法见六、7.a），在主菜单选择“变压器变比测量”，按“确认”键后进入“变比测量”菜单，在“变比测量”菜单里选择“单相变压器测量”，按“确认”键后，仪器自动检查接线有无错误，然后自动进行单相变压器的变比及极性测量。变压器测试台</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11. 仪器增益校准</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电力系统的高精度测量仪器应每一年或二年送上一级计量单位进行校验。当仪器校验误差超标或使用很长时间后,用户认为测量的数据的可信度下降可以对仪器的内部数据进行修正（一般在中试所可完成）。我们建议用户每一年或二年校准一次。</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$11.1 仪器增益校准的设备：</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1) 电子交流稳压器，为仪器提供稳定的电源。</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2) 盘式感应分压箱,精度优于0.005级.</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$11.2 操作方法：</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1变压器测试台).使电子交流稳压器的输出为AC220V。</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2).电子交流稳压器和盘式感应分压箱接地。</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3).按照仪器显示的标准变比值选择盘式感应分压箱的开关档位。</w:t>
      </w:r>
    </w:p>
    <w:p>
      <w:pPr>
        <w:keepNext w:val="0"/>
        <w:keepLines w:val="0"/>
        <w:widowControl/>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p>
    <w:p>
      <w:pPr>
        <w:keepNext w:val="0"/>
        <w:keepLines w:val="0"/>
        <w:widowControl/>
        <w:numPr>
          <w:ilvl w:val="0"/>
          <w:numId w:val="1"/>
        </w:numPr>
        <w:suppressLineNumbers w:val="0"/>
        <w:spacing w:before="75" w:beforeAutospacing="0" w:after="75" w:afterAutospacing="0"/>
        <w:ind w:right="0"/>
        <w:jc w:val="left"/>
        <w:rPr>
          <w:rFonts w:hint="eastAsia" w:ascii="宋体" w:hAnsi="宋体" w:cs="宋体"/>
          <w:i w:val="0"/>
          <w:caps w:val="0"/>
          <w:color w:val="000000"/>
          <w:spacing w:val="0"/>
          <w:sz w:val="21"/>
          <w:szCs w:val="21"/>
          <w:lang w:eastAsia="zh-CN"/>
        </w:rPr>
      </w:pPr>
      <w:r>
        <w:rPr>
          <w:rFonts w:hint="eastAsia" w:ascii="宋体" w:hAnsi="宋体" w:cs="宋体"/>
          <w:i w:val="0"/>
          <w:caps w:val="0"/>
          <w:color w:val="000000"/>
          <w:spacing w:val="0"/>
          <w:sz w:val="21"/>
          <w:szCs w:val="21"/>
          <w:lang w:eastAsia="zh-CN"/>
        </w:rPr>
        <w:t>.按照仪器输出的提示信息进行。</w:t>
      </w:r>
    </w:p>
    <w:p>
      <w:pPr>
        <w:keepNext w:val="0"/>
        <w:keepLines w:val="0"/>
        <w:widowControl/>
        <w:numPr>
          <w:numId w:val="0"/>
        </w:numPr>
        <w:suppressLineNumbers w:val="0"/>
        <w:spacing w:before="75" w:beforeAutospacing="0" w:after="75" w:afterAutospacing="0"/>
        <w:ind w:right="0" w:rightChars="0"/>
        <w:jc w:val="left"/>
        <w:rPr>
          <w:rFonts w:hint="default" w:ascii="宋体" w:hAnsi="宋体" w:cs="宋体"/>
          <w:i w:val="0"/>
          <w:caps w:val="0"/>
          <w:color w:val="000000"/>
          <w:spacing w:val="0"/>
          <w:sz w:val="21"/>
          <w:szCs w:val="21"/>
          <w:lang w:val="en-US" w:eastAsia="zh-CN"/>
        </w:rPr>
      </w:pPr>
      <w:bookmarkStart w:id="0" w:name="_GoBack"/>
      <w:bookmarkEnd w:id="0"/>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i w:val="0"/>
          <w:caps w:val="0"/>
          <w:color w:val="000000"/>
          <w:spacing w:val="0"/>
          <w:sz w:val="24"/>
          <w:szCs w:val="24"/>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C8664"/>
    <w:multiLevelType w:val="singleLevel"/>
    <w:tmpl w:val="5D8C866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A494A34"/>
    <w:rsid w:val="0AD53FDE"/>
    <w:rsid w:val="0B304C20"/>
    <w:rsid w:val="0BC21717"/>
    <w:rsid w:val="0BEC4B80"/>
    <w:rsid w:val="0C016E0E"/>
    <w:rsid w:val="0C6D0F06"/>
    <w:rsid w:val="0EB1417D"/>
    <w:rsid w:val="0ED62A0B"/>
    <w:rsid w:val="0EF161A5"/>
    <w:rsid w:val="0F3D46E0"/>
    <w:rsid w:val="0F4D5D76"/>
    <w:rsid w:val="0FB642BD"/>
    <w:rsid w:val="10460D1B"/>
    <w:rsid w:val="104F76CF"/>
    <w:rsid w:val="10984B68"/>
    <w:rsid w:val="10BF617F"/>
    <w:rsid w:val="10C17E39"/>
    <w:rsid w:val="112F0E2E"/>
    <w:rsid w:val="11FD75FF"/>
    <w:rsid w:val="13F44C27"/>
    <w:rsid w:val="13FD1087"/>
    <w:rsid w:val="15731E8C"/>
    <w:rsid w:val="16045DBF"/>
    <w:rsid w:val="170A67FF"/>
    <w:rsid w:val="187E0CD5"/>
    <w:rsid w:val="18987C4C"/>
    <w:rsid w:val="1A673A15"/>
    <w:rsid w:val="1AD330D4"/>
    <w:rsid w:val="1B1A3360"/>
    <w:rsid w:val="1CA96426"/>
    <w:rsid w:val="1D424207"/>
    <w:rsid w:val="1D83755B"/>
    <w:rsid w:val="1E6E5DDB"/>
    <w:rsid w:val="1EE1598D"/>
    <w:rsid w:val="1F4074ED"/>
    <w:rsid w:val="206D1F84"/>
    <w:rsid w:val="214955DB"/>
    <w:rsid w:val="21FB69EC"/>
    <w:rsid w:val="236E5E8F"/>
    <w:rsid w:val="26166C91"/>
    <w:rsid w:val="26CD5C23"/>
    <w:rsid w:val="29757468"/>
    <w:rsid w:val="29FD4C17"/>
    <w:rsid w:val="2A267929"/>
    <w:rsid w:val="2C1D2035"/>
    <w:rsid w:val="2C22655A"/>
    <w:rsid w:val="2FA75B85"/>
    <w:rsid w:val="30CD1A7F"/>
    <w:rsid w:val="329354C6"/>
    <w:rsid w:val="329F6CF8"/>
    <w:rsid w:val="34913BC0"/>
    <w:rsid w:val="35030AFC"/>
    <w:rsid w:val="35202C1E"/>
    <w:rsid w:val="35F1749D"/>
    <w:rsid w:val="36022600"/>
    <w:rsid w:val="36B1706D"/>
    <w:rsid w:val="37F83C81"/>
    <w:rsid w:val="38004BB1"/>
    <w:rsid w:val="3909659C"/>
    <w:rsid w:val="39445B70"/>
    <w:rsid w:val="3A2C1E9C"/>
    <w:rsid w:val="3A6B6A5F"/>
    <w:rsid w:val="3CF5587C"/>
    <w:rsid w:val="3EA23ED1"/>
    <w:rsid w:val="3F8A5E01"/>
    <w:rsid w:val="401C5B3D"/>
    <w:rsid w:val="40531A3C"/>
    <w:rsid w:val="406E68E9"/>
    <w:rsid w:val="42690071"/>
    <w:rsid w:val="42BB535B"/>
    <w:rsid w:val="43F60325"/>
    <w:rsid w:val="45B54766"/>
    <w:rsid w:val="45E044D0"/>
    <w:rsid w:val="45F87DC8"/>
    <w:rsid w:val="488C43A3"/>
    <w:rsid w:val="48992347"/>
    <w:rsid w:val="489C39CE"/>
    <w:rsid w:val="48F56AAD"/>
    <w:rsid w:val="4B1643EA"/>
    <w:rsid w:val="4D3374E2"/>
    <w:rsid w:val="4DA84479"/>
    <w:rsid w:val="4F523365"/>
    <w:rsid w:val="500C32E8"/>
    <w:rsid w:val="5351134C"/>
    <w:rsid w:val="54881020"/>
    <w:rsid w:val="54DA759F"/>
    <w:rsid w:val="552E3178"/>
    <w:rsid w:val="572A3DCB"/>
    <w:rsid w:val="573A45C1"/>
    <w:rsid w:val="587E6613"/>
    <w:rsid w:val="590220E4"/>
    <w:rsid w:val="5ACE7FB7"/>
    <w:rsid w:val="5B8977B0"/>
    <w:rsid w:val="5E21005C"/>
    <w:rsid w:val="5EC4706C"/>
    <w:rsid w:val="5FCF7C97"/>
    <w:rsid w:val="609E2324"/>
    <w:rsid w:val="63535094"/>
    <w:rsid w:val="65A24FDC"/>
    <w:rsid w:val="65BD756D"/>
    <w:rsid w:val="65E51041"/>
    <w:rsid w:val="66141D78"/>
    <w:rsid w:val="67D15502"/>
    <w:rsid w:val="68A45D08"/>
    <w:rsid w:val="6A213B08"/>
    <w:rsid w:val="6BA346E3"/>
    <w:rsid w:val="6D907CBA"/>
    <w:rsid w:val="700B0E96"/>
    <w:rsid w:val="71F14425"/>
    <w:rsid w:val="73947B65"/>
    <w:rsid w:val="744E1F1B"/>
    <w:rsid w:val="746A5E3C"/>
    <w:rsid w:val="750406C3"/>
    <w:rsid w:val="77030F3F"/>
    <w:rsid w:val="79C25BA0"/>
    <w:rsid w:val="7B376EA8"/>
    <w:rsid w:val="7C112739"/>
    <w:rsid w:val="7D6468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941</Words>
  <Characters>941</Characters>
  <Lines>0</Lines>
  <Paragraphs>0</Paragraphs>
  <ScaleCrop>false</ScaleCrop>
  <LinksUpToDate>false</LinksUpToDate>
  <CharactersWithSpaces>953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2019-09-26T09:15:21Z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