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bookmarkStart w:id="0" w:name="_GoBack"/>
      <w:r>
        <w:rPr>
          <w:rFonts w:hint="eastAsia" w:ascii="宋体" w:hAnsi="宋体" w:cs="宋体"/>
          <w:spacing w:val="0"/>
          <w:sz w:val="24"/>
          <w:szCs w:val="24"/>
          <w:lang w:eastAsia="zh-CN"/>
        </w:rPr>
        <w:t>谈谈双枪电缆刺扎器几个重要的组成部分</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多年以来，电力电缆运行与维护部门对电力电缆刺扎，均按照行业标准要求，采用人工试扎待锯电缆，一旦电缆识别出错，误刺扎带电运行电缆将造成极大的危害。</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双枪电缆刺扎器具有双枪双角度刺扎被测电缆，功能可遥控、线控自动定时两种控制方式。极大地提高了电缆刺扎的安全性、及可靠性。实现了一次刺扎两个角度同时完成，是电缆施工、维护工作者的*工具。</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双枪电缆刺扎器控制器采用先进的数字控制及电子检测电路，将真人语音与液晶显示控制与一体，实现了人机对话。整机面板设计清晰醒目、操作简单方便。双枪电缆刺扎器采用遥控、线控定时两种模式，工作发射时人不直接接触设备，确保人身安全。采用电池供电，刺扎器与电力系统彻底隔离，确保供电安全。</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组成部分：</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双枪电缆刺扎器写有型号名称的方盒是本装置的精密自动机械以及电子控制部分，是用户不可拆卸部分，请不要试图拆卸以免损坏设备。如该部分有问题，请及时与厂家。</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1、压板、钢绳为本装置与待刺扎高压电缆紧固连接装置。</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2、钉管、制动环、活塞体为用户每次试扎后必须进行擦拭，上润滑油保养的部分。</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3、充电由于技术升级，充电指示以充电器上的指示灯为准，充电时红灯亮，充满后变为绿灯亮。</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4、欠压为电池状态指示灯，打开电源开关，该灯亮时，必须及时进行充电。</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5、上镗为装置工作状态指示灯。该灯亮时，表示准备工作到位，可以试扎。</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r>
        <w:rPr>
          <w:rFonts w:hint="eastAsia" w:ascii="宋体" w:hAnsi="宋体" w:cs="宋体"/>
          <w:spacing w:val="0"/>
          <w:sz w:val="24"/>
          <w:szCs w:val="24"/>
          <w:lang w:eastAsia="zh-CN"/>
        </w:rPr>
        <w:t>6、试扎为装置工作状态指示灯。该灯亮时，表示已进入试扎状态。</w:t>
      </w:r>
    </w:p>
    <w:p>
      <w:pPr>
        <w:pStyle w:val="5"/>
        <w:keepNext w:val="0"/>
        <w:keepLines w:val="0"/>
        <w:widowControl/>
        <w:numPr>
          <w:numId w:val="0"/>
        </w:numPr>
        <w:suppressLineNumbers w:val="0"/>
        <w:spacing w:before="60" w:beforeAutospacing="0" w:after="60" w:afterAutospacing="0"/>
        <w:ind w:right="0" w:rightChars="0"/>
        <w:jc w:val="both"/>
        <w:rPr>
          <w:rFonts w:hint="eastAsia" w:ascii="宋体" w:hAnsi="宋体" w:cs="宋体"/>
          <w:spacing w:val="0"/>
          <w:sz w:val="24"/>
          <w:szCs w:val="24"/>
          <w:lang w:eastAsia="zh-CN"/>
        </w:rPr>
      </w:pPr>
    </w:p>
    <w:p>
      <w:pPr>
        <w:pStyle w:val="5"/>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4E3356"/>
    <w:rsid w:val="00580876"/>
    <w:rsid w:val="009046C5"/>
    <w:rsid w:val="00AC0D04"/>
    <w:rsid w:val="00B46FB2"/>
    <w:rsid w:val="01142233"/>
    <w:rsid w:val="012E3184"/>
    <w:rsid w:val="01464C67"/>
    <w:rsid w:val="01586F73"/>
    <w:rsid w:val="01682563"/>
    <w:rsid w:val="01D52818"/>
    <w:rsid w:val="01FA53E8"/>
    <w:rsid w:val="02524ED9"/>
    <w:rsid w:val="02952AD6"/>
    <w:rsid w:val="029773F3"/>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7F7274"/>
    <w:rsid w:val="06E30004"/>
    <w:rsid w:val="07433C0F"/>
    <w:rsid w:val="077545A2"/>
    <w:rsid w:val="07C523E2"/>
    <w:rsid w:val="07DF66C2"/>
    <w:rsid w:val="086927FE"/>
    <w:rsid w:val="0875717D"/>
    <w:rsid w:val="08831128"/>
    <w:rsid w:val="08AC139C"/>
    <w:rsid w:val="08B20CB9"/>
    <w:rsid w:val="08BF11E4"/>
    <w:rsid w:val="08CD373E"/>
    <w:rsid w:val="08FD2A0B"/>
    <w:rsid w:val="09431526"/>
    <w:rsid w:val="09760E5F"/>
    <w:rsid w:val="09FA3CC5"/>
    <w:rsid w:val="09FE1989"/>
    <w:rsid w:val="0A494A34"/>
    <w:rsid w:val="0A6E2860"/>
    <w:rsid w:val="0A7F2F78"/>
    <w:rsid w:val="0A9E1EE9"/>
    <w:rsid w:val="0ABD5BD9"/>
    <w:rsid w:val="0ABE531A"/>
    <w:rsid w:val="0AC737A0"/>
    <w:rsid w:val="0ACE3AF6"/>
    <w:rsid w:val="0AD53FDE"/>
    <w:rsid w:val="0B304C20"/>
    <w:rsid w:val="0B465D30"/>
    <w:rsid w:val="0BA125ED"/>
    <w:rsid w:val="0BB31A5F"/>
    <w:rsid w:val="0BC21717"/>
    <w:rsid w:val="0BEC4B80"/>
    <w:rsid w:val="0BFD6C8F"/>
    <w:rsid w:val="0C016E0E"/>
    <w:rsid w:val="0C5440B5"/>
    <w:rsid w:val="0C6D0F06"/>
    <w:rsid w:val="0C8F2C1F"/>
    <w:rsid w:val="0CAA612F"/>
    <w:rsid w:val="0CD71082"/>
    <w:rsid w:val="0D4B3CBD"/>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0D7525"/>
    <w:rsid w:val="141647CE"/>
    <w:rsid w:val="141E7CD4"/>
    <w:rsid w:val="143E670B"/>
    <w:rsid w:val="14F7040E"/>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7E0CD5"/>
    <w:rsid w:val="18987C4C"/>
    <w:rsid w:val="18B20997"/>
    <w:rsid w:val="18B81622"/>
    <w:rsid w:val="18CA7215"/>
    <w:rsid w:val="18CE383C"/>
    <w:rsid w:val="18F65A48"/>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741A1E"/>
    <w:rsid w:val="1C9B21F3"/>
    <w:rsid w:val="1CA96426"/>
    <w:rsid w:val="1D2552C9"/>
    <w:rsid w:val="1D424207"/>
    <w:rsid w:val="1D55667F"/>
    <w:rsid w:val="1D83755B"/>
    <w:rsid w:val="1DB73F35"/>
    <w:rsid w:val="1DB7741B"/>
    <w:rsid w:val="1E6E5DDB"/>
    <w:rsid w:val="1EAD580F"/>
    <w:rsid w:val="1EE1598D"/>
    <w:rsid w:val="1EEF2CAB"/>
    <w:rsid w:val="1F4074ED"/>
    <w:rsid w:val="1F493739"/>
    <w:rsid w:val="1FB537D2"/>
    <w:rsid w:val="1FDF2187"/>
    <w:rsid w:val="206D1F84"/>
    <w:rsid w:val="2077563F"/>
    <w:rsid w:val="20886578"/>
    <w:rsid w:val="20AA5C80"/>
    <w:rsid w:val="20BB264D"/>
    <w:rsid w:val="214955DB"/>
    <w:rsid w:val="21FB69EC"/>
    <w:rsid w:val="228E7155"/>
    <w:rsid w:val="22D67516"/>
    <w:rsid w:val="233A0E53"/>
    <w:rsid w:val="236B1576"/>
    <w:rsid w:val="236E5E8F"/>
    <w:rsid w:val="23EC1BF8"/>
    <w:rsid w:val="240823BC"/>
    <w:rsid w:val="240A4F82"/>
    <w:rsid w:val="244E4D7D"/>
    <w:rsid w:val="249C25B1"/>
    <w:rsid w:val="24E2471C"/>
    <w:rsid w:val="24E91A75"/>
    <w:rsid w:val="24F97CA2"/>
    <w:rsid w:val="256D26BA"/>
    <w:rsid w:val="25DD5FD8"/>
    <w:rsid w:val="26166C91"/>
    <w:rsid w:val="264C503C"/>
    <w:rsid w:val="26567B73"/>
    <w:rsid w:val="265C702D"/>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E336498"/>
    <w:rsid w:val="2F4139B1"/>
    <w:rsid w:val="2F6918B0"/>
    <w:rsid w:val="2FA75B85"/>
    <w:rsid w:val="2FE06738"/>
    <w:rsid w:val="302B1B87"/>
    <w:rsid w:val="30620C8D"/>
    <w:rsid w:val="306A67ED"/>
    <w:rsid w:val="307C70F2"/>
    <w:rsid w:val="30963906"/>
    <w:rsid w:val="30CD1A7F"/>
    <w:rsid w:val="30FC3948"/>
    <w:rsid w:val="316E3807"/>
    <w:rsid w:val="318E45E0"/>
    <w:rsid w:val="31C546F9"/>
    <w:rsid w:val="327D3988"/>
    <w:rsid w:val="327E40D9"/>
    <w:rsid w:val="329354C6"/>
    <w:rsid w:val="329F6CF8"/>
    <w:rsid w:val="32E12727"/>
    <w:rsid w:val="32F161E2"/>
    <w:rsid w:val="33781A63"/>
    <w:rsid w:val="33900996"/>
    <w:rsid w:val="34135083"/>
    <w:rsid w:val="34870A01"/>
    <w:rsid w:val="34913BC0"/>
    <w:rsid w:val="34AD5293"/>
    <w:rsid w:val="34FE0D33"/>
    <w:rsid w:val="35030AFC"/>
    <w:rsid w:val="35202C1E"/>
    <w:rsid w:val="356B5B43"/>
    <w:rsid w:val="35F016DF"/>
    <w:rsid w:val="35F1749D"/>
    <w:rsid w:val="36022600"/>
    <w:rsid w:val="361F1EF1"/>
    <w:rsid w:val="3690121B"/>
    <w:rsid w:val="36B1706D"/>
    <w:rsid w:val="371135D4"/>
    <w:rsid w:val="37280AD8"/>
    <w:rsid w:val="372A298C"/>
    <w:rsid w:val="37D616B9"/>
    <w:rsid w:val="37F83C81"/>
    <w:rsid w:val="38004BB1"/>
    <w:rsid w:val="38387471"/>
    <w:rsid w:val="387A6293"/>
    <w:rsid w:val="388B6140"/>
    <w:rsid w:val="3909659C"/>
    <w:rsid w:val="39445B70"/>
    <w:rsid w:val="399F7EA6"/>
    <w:rsid w:val="3A2C1E9C"/>
    <w:rsid w:val="3A4E4734"/>
    <w:rsid w:val="3A6B6A5F"/>
    <w:rsid w:val="3AF7721C"/>
    <w:rsid w:val="3B2B6BDD"/>
    <w:rsid w:val="3B64373D"/>
    <w:rsid w:val="3B710F33"/>
    <w:rsid w:val="3BBD70A9"/>
    <w:rsid w:val="3BEB5121"/>
    <w:rsid w:val="3C40017B"/>
    <w:rsid w:val="3C7E5F69"/>
    <w:rsid w:val="3CA627CB"/>
    <w:rsid w:val="3CDE6BDD"/>
    <w:rsid w:val="3CF05A83"/>
    <w:rsid w:val="3CF5587C"/>
    <w:rsid w:val="3D410B15"/>
    <w:rsid w:val="3D4921FA"/>
    <w:rsid w:val="3D856A76"/>
    <w:rsid w:val="3EA23ED1"/>
    <w:rsid w:val="3EB46E8E"/>
    <w:rsid w:val="3EE11B1C"/>
    <w:rsid w:val="3F491158"/>
    <w:rsid w:val="3F8A5E01"/>
    <w:rsid w:val="3FE63C65"/>
    <w:rsid w:val="401C5B3D"/>
    <w:rsid w:val="40531A3C"/>
    <w:rsid w:val="40582044"/>
    <w:rsid w:val="406E68E9"/>
    <w:rsid w:val="40933600"/>
    <w:rsid w:val="41180364"/>
    <w:rsid w:val="41A755E3"/>
    <w:rsid w:val="41A92B2C"/>
    <w:rsid w:val="42327928"/>
    <w:rsid w:val="423A00D5"/>
    <w:rsid w:val="42690071"/>
    <w:rsid w:val="429240FD"/>
    <w:rsid w:val="42BB535B"/>
    <w:rsid w:val="438C1A69"/>
    <w:rsid w:val="43DB6C58"/>
    <w:rsid w:val="43DC560D"/>
    <w:rsid w:val="43F60325"/>
    <w:rsid w:val="44116961"/>
    <w:rsid w:val="441A4C93"/>
    <w:rsid w:val="443C793F"/>
    <w:rsid w:val="44D53536"/>
    <w:rsid w:val="44DF561E"/>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8244215"/>
    <w:rsid w:val="484B3DF5"/>
    <w:rsid w:val="48582C62"/>
    <w:rsid w:val="485E5A86"/>
    <w:rsid w:val="486144B9"/>
    <w:rsid w:val="488C43A3"/>
    <w:rsid w:val="48937DD5"/>
    <w:rsid w:val="48992347"/>
    <w:rsid w:val="48995998"/>
    <w:rsid w:val="489C39CE"/>
    <w:rsid w:val="48B7498D"/>
    <w:rsid w:val="48C47684"/>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C9445F"/>
    <w:rsid w:val="4CE47CE0"/>
    <w:rsid w:val="4CFF0639"/>
    <w:rsid w:val="4D3374E2"/>
    <w:rsid w:val="4DA56752"/>
    <w:rsid w:val="4DA84479"/>
    <w:rsid w:val="4DB37A20"/>
    <w:rsid w:val="4DD73B3A"/>
    <w:rsid w:val="4DD73C01"/>
    <w:rsid w:val="4E2137C9"/>
    <w:rsid w:val="4E7D3E6E"/>
    <w:rsid w:val="4EA472AF"/>
    <w:rsid w:val="4EAD58C1"/>
    <w:rsid w:val="4EE75DD2"/>
    <w:rsid w:val="4F523365"/>
    <w:rsid w:val="4FA67411"/>
    <w:rsid w:val="4FAD75BC"/>
    <w:rsid w:val="4FC1177A"/>
    <w:rsid w:val="4FDF268E"/>
    <w:rsid w:val="4FF07395"/>
    <w:rsid w:val="500C32E8"/>
    <w:rsid w:val="5047384F"/>
    <w:rsid w:val="507E045E"/>
    <w:rsid w:val="50E771D1"/>
    <w:rsid w:val="50F807B8"/>
    <w:rsid w:val="51372CBA"/>
    <w:rsid w:val="51503C6F"/>
    <w:rsid w:val="5184396D"/>
    <w:rsid w:val="51930760"/>
    <w:rsid w:val="523E1064"/>
    <w:rsid w:val="527C7DED"/>
    <w:rsid w:val="52D94F6A"/>
    <w:rsid w:val="5351134C"/>
    <w:rsid w:val="53901884"/>
    <w:rsid w:val="53AA371E"/>
    <w:rsid w:val="546F0F37"/>
    <w:rsid w:val="54881020"/>
    <w:rsid w:val="54924045"/>
    <w:rsid w:val="54DA759F"/>
    <w:rsid w:val="54E17778"/>
    <w:rsid w:val="551159C5"/>
    <w:rsid w:val="552E3178"/>
    <w:rsid w:val="55362F24"/>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A734D5"/>
    <w:rsid w:val="5A087CAF"/>
    <w:rsid w:val="5A312B67"/>
    <w:rsid w:val="5ACE7FB7"/>
    <w:rsid w:val="5B8977B0"/>
    <w:rsid w:val="5B950720"/>
    <w:rsid w:val="5BD01382"/>
    <w:rsid w:val="5BEE4CCD"/>
    <w:rsid w:val="5C382FA5"/>
    <w:rsid w:val="5C640856"/>
    <w:rsid w:val="5CD80BA3"/>
    <w:rsid w:val="5D0908B1"/>
    <w:rsid w:val="5D0C3BD8"/>
    <w:rsid w:val="5D3F29DB"/>
    <w:rsid w:val="5E21005C"/>
    <w:rsid w:val="5E4E48ED"/>
    <w:rsid w:val="5E945E42"/>
    <w:rsid w:val="5EAB61A1"/>
    <w:rsid w:val="5EC4706C"/>
    <w:rsid w:val="5F562886"/>
    <w:rsid w:val="5F9E1BC4"/>
    <w:rsid w:val="5FA50DA4"/>
    <w:rsid w:val="5FCC2675"/>
    <w:rsid w:val="5FCF7C97"/>
    <w:rsid w:val="605C5650"/>
    <w:rsid w:val="60953E62"/>
    <w:rsid w:val="609E2324"/>
    <w:rsid w:val="60EE5696"/>
    <w:rsid w:val="60F1143A"/>
    <w:rsid w:val="615F291F"/>
    <w:rsid w:val="61AE318F"/>
    <w:rsid w:val="61F63084"/>
    <w:rsid w:val="62696059"/>
    <w:rsid w:val="62EE488A"/>
    <w:rsid w:val="62FA4940"/>
    <w:rsid w:val="63535094"/>
    <w:rsid w:val="63854483"/>
    <w:rsid w:val="63C0694F"/>
    <w:rsid w:val="63CD2221"/>
    <w:rsid w:val="6488353B"/>
    <w:rsid w:val="649B765B"/>
    <w:rsid w:val="652A70F9"/>
    <w:rsid w:val="65543584"/>
    <w:rsid w:val="65A24FDC"/>
    <w:rsid w:val="65B143A1"/>
    <w:rsid w:val="65BC38FA"/>
    <w:rsid w:val="65BD756D"/>
    <w:rsid w:val="65D34E1F"/>
    <w:rsid w:val="65E51041"/>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907CBA"/>
    <w:rsid w:val="6E9C69C9"/>
    <w:rsid w:val="6F2F68AF"/>
    <w:rsid w:val="6F6202A3"/>
    <w:rsid w:val="6F7E161A"/>
    <w:rsid w:val="6F7E4E22"/>
    <w:rsid w:val="6FE9748C"/>
    <w:rsid w:val="6FF22BB7"/>
    <w:rsid w:val="700B0E96"/>
    <w:rsid w:val="70225941"/>
    <w:rsid w:val="702B1AB4"/>
    <w:rsid w:val="70554A83"/>
    <w:rsid w:val="706A6145"/>
    <w:rsid w:val="70BD582F"/>
    <w:rsid w:val="70C819F6"/>
    <w:rsid w:val="70D36CD3"/>
    <w:rsid w:val="713C49CE"/>
    <w:rsid w:val="71677575"/>
    <w:rsid w:val="71E55CDC"/>
    <w:rsid w:val="71EB4B71"/>
    <w:rsid w:val="71F14425"/>
    <w:rsid w:val="72A72ADC"/>
    <w:rsid w:val="72D7797D"/>
    <w:rsid w:val="73210CCF"/>
    <w:rsid w:val="732B1995"/>
    <w:rsid w:val="73320CA6"/>
    <w:rsid w:val="73947B65"/>
    <w:rsid w:val="739B0F4C"/>
    <w:rsid w:val="744E1F1B"/>
    <w:rsid w:val="746A5E3C"/>
    <w:rsid w:val="748219B9"/>
    <w:rsid w:val="74D43D89"/>
    <w:rsid w:val="74F156FD"/>
    <w:rsid w:val="750406C3"/>
    <w:rsid w:val="751513CA"/>
    <w:rsid w:val="75515B20"/>
    <w:rsid w:val="75A053E6"/>
    <w:rsid w:val="75A5568F"/>
    <w:rsid w:val="75F624BA"/>
    <w:rsid w:val="76420757"/>
    <w:rsid w:val="7692605C"/>
    <w:rsid w:val="76A674F4"/>
    <w:rsid w:val="76E10E84"/>
    <w:rsid w:val="76F06E48"/>
    <w:rsid w:val="77030F3F"/>
    <w:rsid w:val="77532A00"/>
    <w:rsid w:val="77B42A78"/>
    <w:rsid w:val="78393AB4"/>
    <w:rsid w:val="78530284"/>
    <w:rsid w:val="785337E0"/>
    <w:rsid w:val="78B10ADD"/>
    <w:rsid w:val="7906371C"/>
    <w:rsid w:val="79293757"/>
    <w:rsid w:val="79A103E0"/>
    <w:rsid w:val="79C25BA0"/>
    <w:rsid w:val="79ED3355"/>
    <w:rsid w:val="7A554C22"/>
    <w:rsid w:val="7A7674B3"/>
    <w:rsid w:val="7AAA4DC3"/>
    <w:rsid w:val="7B376EA8"/>
    <w:rsid w:val="7BFE356B"/>
    <w:rsid w:val="7C112739"/>
    <w:rsid w:val="7C165936"/>
    <w:rsid w:val="7C367C32"/>
    <w:rsid w:val="7C705F23"/>
    <w:rsid w:val="7C757DD3"/>
    <w:rsid w:val="7C776226"/>
    <w:rsid w:val="7D1C61C0"/>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680</Words>
  <Characters>692</Characters>
  <Lines>0</Lines>
  <Paragraphs>0</Paragraphs>
  <ScaleCrop>false</ScaleCrop>
  <LinksUpToDate>false</LinksUpToDate>
  <CharactersWithSpaces>722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2021-08-27T07:27:47Z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