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60" w:beforeAutospacing="0" w:after="60" w:afterAutospacing="0"/>
        <w:ind w:left="0" w:right="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YHTB-充气式试验变压器</w:t>
      </w:r>
      <w:r>
        <w:rPr>
          <w:rStyle w:val="8"/>
          <w:rFonts w:hint="eastAsia" w:ascii="宋体" w:hAnsi="宋体" w:cs="宋体"/>
          <w:b w:val="0"/>
          <w:bCs/>
          <w:i w:val="0"/>
          <w:caps w:val="0"/>
          <w:color w:val="333333"/>
          <w:spacing w:val="0"/>
          <w:sz w:val="18"/>
          <w:szCs w:val="18"/>
          <w:shd w:val="clear" w:fill="FFFFFF"/>
          <w:lang w:eastAsia="zh-CN"/>
        </w:rPr>
        <w:t>工作原理</w:t>
      </w:r>
    </w:p>
    <w:p>
      <w:pPr>
        <w:pStyle w:val="6"/>
        <w:keepNext w:val="0"/>
        <w:keepLines w:val="0"/>
        <w:widowControl/>
        <w:suppressLineNumbers w:val="0"/>
        <w:spacing w:before="60" w:beforeAutospacing="0" w:after="60" w:afterAutospacing="0"/>
        <w:ind w:left="0" w:right="0"/>
        <w:jc w:val="both"/>
        <w:rPr>
          <w:rStyle w:val="8"/>
          <w:rFonts w:hint="eastAsia" w:ascii="宋体" w:hAnsi="宋体" w:eastAsia="宋体" w:cs="宋体"/>
          <w:b w:val="0"/>
          <w:bCs/>
          <w:i w:val="0"/>
          <w:caps w:val="0"/>
          <w:color w:val="333333"/>
          <w:spacing w:val="0"/>
          <w:sz w:val="18"/>
          <w:szCs w:val="18"/>
          <w:shd w:val="clear" w:fill="FFFFFF"/>
          <w:lang w:eastAsia="zh-CN"/>
        </w:rPr>
      </w:pP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YHTB-充气式试验变压器级绕组，根据电磁感应原理，在次级（高压）绕组按其与初级绕组匝数之比可获得同等倍数的电压幅值－工频高压。</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结构：</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1、产品其设计构思，材质选择及工艺流程都是全新的。因此不仅体积小、重量轻、外形美、而且各项技术指标都达到了&lt;&lt;JB3570－９８&gt;&gt;标准要求。</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品采用优质冷轧DQ－151取向硅钢片叠成多级圆柱框形铁芯，在特制的高强度绝缘筒上用QZ型导线直接连续绕制高压塔式线圈。外壳是适形尺寸，内充入SF６气体。</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2、产品与YDQ产品的不同在于巧妙地将高压整流硅堆装在高压套之内通过短路杆的插入和抽出可变换YDQ是工频高压交流输出还是高压直流输出。</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3、产品与YDQ产品的不同在于套管内结构。</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YHTB-充气式试验变压器工作原理：</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把电源输入有过流自动脱扣及防止突发加压的零位连锁装置的操作箱，经自耦调压器调节电压输入YHTB试验变压器初级绕组，根据电磁感应原理，在次级（高压）绕组按其与初级绕组匝数之比可获得同等倍数的电压幅值－工频高压。此工频高压经高压硅堆整流及稳压电容器滤波可取得直流高压，其幅值是工频高压有效值的２倍。</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操作试验方法：</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１、按上图接线，检查压力表指示内部气体压力是否正常（≥０.3MPA）</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２、做交流耐压时短路杆插入孔Ｊ中，做直流泄漏试验，取出短路杆。</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３、限流电阻配置：工频耐压每伏0.3～１欧:直流每伏５～１０欧，一般试 验可不用。</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４、拆除被试品线引线，套管及器身脏污清除，必要时采用屏蔽措施。</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５、准备工作和安全措施就绪，空试一次设备。</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６、接上被试品，直流试验应用屏蔽线，以消除杂散泄漏。</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７、合上电源，控制箱（柜）电源批示绿灯亮。</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８、按下起动按钮，起动指示灯亮。</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９、对控制箱，顺时针均匀加电，注视电压表达到额定电压值。</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１０、持续规定耐压时间并注视电流表指示。</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１１、耐压时间到，注视ＫＶ表，迅速均匀降零。</w:t>
      </w:r>
      <w:bookmarkStart w:id="0" w:name="_GoBack"/>
      <w:bookmarkEnd w:id="0"/>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１２、做图２实验后用放电棒经电阻放电，然后直接接地放电。</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r>
        <w:rPr>
          <w:rStyle w:val="8"/>
          <w:rFonts w:hint="eastAsia" w:ascii="宋体" w:hAnsi="宋体" w:eastAsia="宋体" w:cs="宋体"/>
          <w:b w:val="0"/>
          <w:bCs/>
          <w:i w:val="0"/>
          <w:caps w:val="0"/>
          <w:color w:val="333333"/>
          <w:spacing w:val="0"/>
          <w:sz w:val="18"/>
          <w:szCs w:val="18"/>
          <w:shd w:val="clear" w:fill="FFFFFF"/>
        </w:rPr>
        <w:t>１３、高压部分可能被充电部位一一放电后，改变或拆除高压引线，及一切引 线至此一次试验终止。</w:t>
      </w:r>
    </w:p>
    <w:p>
      <w:pPr>
        <w:pStyle w:val="6"/>
        <w:keepNext w:val="0"/>
        <w:keepLines w:val="0"/>
        <w:widowControl/>
        <w:numPr>
          <w:numId w:val="0"/>
        </w:numPr>
        <w:suppressLineNumbers w:val="0"/>
        <w:spacing w:before="60" w:beforeAutospacing="0" w:after="60" w:afterAutospacing="0"/>
        <w:ind w:right="0" w:rightChars="0"/>
        <w:jc w:val="both"/>
        <w:rPr>
          <w:rStyle w:val="8"/>
          <w:rFonts w:hint="eastAsia" w:ascii="宋体" w:hAnsi="宋体" w:eastAsia="宋体" w:cs="宋体"/>
          <w:b w:val="0"/>
          <w:bCs/>
          <w:i w:val="0"/>
          <w:caps w:val="0"/>
          <w:color w:val="333333"/>
          <w:spacing w:val="0"/>
          <w:sz w:val="18"/>
          <w:szCs w:val="18"/>
          <w:shd w:val="clear" w:fill="FFFFFF"/>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b w:val="0"/>
          <w:bCs/>
          <w:i w:val="0"/>
          <w:iCs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i w:val="0"/>
          <w:caps w:val="0"/>
          <w:color w:val="000000"/>
          <w:spacing w:val="0"/>
          <w:sz w:val="18"/>
          <w:szCs w:val="18"/>
        </w:rPr>
        <w:t>尊敬的客户：感谢您关注我们的产品，本公司除了有此产品介绍以外，还有</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"http://www.zhengyuandianqi.com/product/9003.html" </w:instrText>
      </w:r>
      <w:r>
        <w:rPr>
          <w:rFonts w:hint="eastAsia" w:ascii="宋体" w:hAnsi="宋体" w:eastAsia="宋体" w:cs="宋体"/>
          <w:i w:val="0"/>
          <w:caps w:val="0"/>
          <w:spacing w:val="0"/>
          <w:sz w:val="18"/>
          <w:szCs w:val="18"/>
        </w:rPr>
        <w:fldChar w:fldCharType="separate"/>
      </w:r>
      <w:r>
        <w:rPr>
          <w:rStyle w:val="9"/>
          <w:rFonts w:hint="eastAsia" w:ascii="宋体" w:hAnsi="宋体" w:eastAsia="宋体" w:cs="宋体"/>
          <w:i w:val="0"/>
          <w:caps w:val="0"/>
          <w:spacing w:val="0"/>
          <w:sz w:val="18"/>
          <w:szCs w:val="18"/>
          <w:u w:val="single"/>
        </w:rPr>
        <w:t>200A|100A|回路电阻测试仪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"http://www.zhengyuandianqi.com/product/read/641.html" </w:instrText>
      </w:r>
      <w:r>
        <w:rPr>
          <w:rFonts w:hint="eastAsia" w:ascii="宋体" w:hAnsi="宋体" w:eastAsia="宋体" w:cs="宋体"/>
          <w:i w:val="0"/>
          <w:caps w:val="0"/>
          <w:spacing w:val="0"/>
          <w:sz w:val="18"/>
          <w:szCs w:val="18"/>
        </w:rPr>
        <w:fldChar w:fldCharType="separate"/>
      </w:r>
      <w:r>
        <w:rPr>
          <w:rStyle w:val="9"/>
          <w:rFonts w:hint="eastAsia" w:ascii="宋体" w:hAnsi="宋体" w:eastAsia="宋体" w:cs="宋体"/>
          <w:i w:val="0"/>
          <w:caps w:val="0"/>
          <w:spacing w:val="0"/>
          <w:sz w:val="18"/>
          <w:szCs w:val="18"/>
          <w:u w:val="single"/>
        </w:rPr>
        <w:t>回路电阻测试仪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"http://www.zhengyuandianqi.com/product/9005.html" </w:instrText>
      </w:r>
      <w:r>
        <w:rPr>
          <w:rFonts w:hint="eastAsia" w:ascii="宋体" w:hAnsi="宋体" w:eastAsia="宋体" w:cs="宋体"/>
          <w:i w:val="0"/>
          <w:caps w:val="0"/>
          <w:spacing w:val="0"/>
          <w:sz w:val="18"/>
          <w:szCs w:val="18"/>
        </w:rPr>
        <w:fldChar w:fldCharType="separate"/>
      </w:r>
      <w:r>
        <w:rPr>
          <w:rStyle w:val="9"/>
          <w:rFonts w:hint="eastAsia" w:ascii="宋体" w:hAnsi="宋体" w:eastAsia="宋体" w:cs="宋体"/>
          <w:i w:val="0"/>
          <w:caps w:val="0"/>
          <w:spacing w:val="0"/>
          <w:sz w:val="18"/>
          <w:szCs w:val="18"/>
          <w:u w:val="single"/>
        </w:rPr>
        <w:t>超高压耐压测试仪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"http://www.zhengyuandianqi.com/product/9006.html" </w:instrText>
      </w:r>
      <w:r>
        <w:rPr>
          <w:rFonts w:hint="eastAsia" w:ascii="宋体" w:hAnsi="宋体" w:eastAsia="宋体" w:cs="宋体"/>
          <w:i w:val="0"/>
          <w:caps w:val="0"/>
          <w:spacing w:val="0"/>
          <w:sz w:val="18"/>
          <w:szCs w:val="18"/>
        </w:rPr>
        <w:fldChar w:fldCharType="separate"/>
      </w:r>
      <w:r>
        <w:rPr>
          <w:rStyle w:val="9"/>
          <w:rFonts w:hint="eastAsia" w:ascii="宋体" w:hAnsi="宋体" w:eastAsia="宋体" w:cs="宋体"/>
          <w:i w:val="0"/>
          <w:caps w:val="0"/>
          <w:spacing w:val="0"/>
          <w:sz w:val="18"/>
          <w:szCs w:val="18"/>
          <w:u w:val="single"/>
        </w:rPr>
        <w:t>互感器测试仪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"http://www.zhengyuandianqi.com/product/9019.html" </w:instrText>
      </w:r>
      <w:r>
        <w:rPr>
          <w:rFonts w:hint="eastAsia" w:ascii="宋体" w:hAnsi="宋体" w:eastAsia="宋体" w:cs="宋体"/>
          <w:i w:val="0"/>
          <w:caps w:val="0"/>
          <w:spacing w:val="0"/>
          <w:sz w:val="18"/>
          <w:szCs w:val="18"/>
        </w:rPr>
        <w:fldChar w:fldCharType="separate"/>
      </w:r>
      <w:r>
        <w:rPr>
          <w:rStyle w:val="9"/>
          <w:rFonts w:hint="eastAsia" w:ascii="宋体" w:hAnsi="宋体" w:eastAsia="宋体" w:cs="宋体"/>
          <w:i w:val="0"/>
          <w:caps w:val="0"/>
          <w:spacing w:val="0"/>
          <w:sz w:val="18"/>
          <w:szCs w:val="18"/>
          <w:u w:val="single"/>
        </w:rPr>
        <w:t>双钳相位伏安表</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D52818"/>
    <w:rsid w:val="01FA53E8"/>
    <w:rsid w:val="024877DC"/>
    <w:rsid w:val="02524ED9"/>
    <w:rsid w:val="02952AD6"/>
    <w:rsid w:val="029773F3"/>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C523E2"/>
    <w:rsid w:val="07DF66C2"/>
    <w:rsid w:val="08096DD7"/>
    <w:rsid w:val="086927FE"/>
    <w:rsid w:val="0875717D"/>
    <w:rsid w:val="08831128"/>
    <w:rsid w:val="08AC139C"/>
    <w:rsid w:val="08B20CB9"/>
    <w:rsid w:val="08BF11E4"/>
    <w:rsid w:val="08CD373E"/>
    <w:rsid w:val="08FD2A0B"/>
    <w:rsid w:val="09431526"/>
    <w:rsid w:val="09760E5F"/>
    <w:rsid w:val="09DC326A"/>
    <w:rsid w:val="09FA3CC5"/>
    <w:rsid w:val="09FE1989"/>
    <w:rsid w:val="0A0E5799"/>
    <w:rsid w:val="0A494A34"/>
    <w:rsid w:val="0A6E2860"/>
    <w:rsid w:val="0A7F2F78"/>
    <w:rsid w:val="0A9E1EE9"/>
    <w:rsid w:val="0ABD5BD9"/>
    <w:rsid w:val="0ABE531A"/>
    <w:rsid w:val="0AC737A0"/>
    <w:rsid w:val="0ACE3AF6"/>
    <w:rsid w:val="0AD53FDE"/>
    <w:rsid w:val="0B304C20"/>
    <w:rsid w:val="0B465D30"/>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E370BF"/>
    <w:rsid w:val="13385D8D"/>
    <w:rsid w:val="1381702C"/>
    <w:rsid w:val="139A013C"/>
    <w:rsid w:val="13F44C27"/>
    <w:rsid w:val="13FD1087"/>
    <w:rsid w:val="140D7525"/>
    <w:rsid w:val="141647CE"/>
    <w:rsid w:val="141E7CD4"/>
    <w:rsid w:val="143E670B"/>
    <w:rsid w:val="14493E1D"/>
    <w:rsid w:val="14F7040E"/>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4C503C"/>
    <w:rsid w:val="26567B73"/>
    <w:rsid w:val="265C702D"/>
    <w:rsid w:val="267A74BC"/>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BBC7AB1"/>
    <w:rsid w:val="2C0578EE"/>
    <w:rsid w:val="2C1D2035"/>
    <w:rsid w:val="2C22655A"/>
    <w:rsid w:val="2C6E46F1"/>
    <w:rsid w:val="2CD0129C"/>
    <w:rsid w:val="2D353E12"/>
    <w:rsid w:val="2D3C0A0D"/>
    <w:rsid w:val="2D6A5560"/>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1A43A9"/>
    <w:rsid w:val="45B54766"/>
    <w:rsid w:val="45BD6117"/>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84396D"/>
    <w:rsid w:val="51930760"/>
    <w:rsid w:val="523E1064"/>
    <w:rsid w:val="527C7DED"/>
    <w:rsid w:val="52D94F6A"/>
    <w:rsid w:val="5351134C"/>
    <w:rsid w:val="535543CD"/>
    <w:rsid w:val="53701E5B"/>
    <w:rsid w:val="538F4151"/>
    <w:rsid w:val="53901884"/>
    <w:rsid w:val="53AA371E"/>
    <w:rsid w:val="546F0F37"/>
    <w:rsid w:val="54881020"/>
    <w:rsid w:val="54924045"/>
    <w:rsid w:val="54BC3CCE"/>
    <w:rsid w:val="54DA759F"/>
    <w:rsid w:val="54E17778"/>
    <w:rsid w:val="551159C5"/>
    <w:rsid w:val="552E3178"/>
    <w:rsid w:val="55362F24"/>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CE7FB7"/>
    <w:rsid w:val="5B8977B0"/>
    <w:rsid w:val="5B950720"/>
    <w:rsid w:val="5BD01382"/>
    <w:rsid w:val="5BEE4CCD"/>
    <w:rsid w:val="5C382FA5"/>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A4940"/>
    <w:rsid w:val="63535094"/>
    <w:rsid w:val="63854483"/>
    <w:rsid w:val="63C0694F"/>
    <w:rsid w:val="63CD2221"/>
    <w:rsid w:val="64057227"/>
    <w:rsid w:val="6473315F"/>
    <w:rsid w:val="6488353B"/>
    <w:rsid w:val="649B765B"/>
    <w:rsid w:val="64EC1C9F"/>
    <w:rsid w:val="652A70F9"/>
    <w:rsid w:val="65543584"/>
    <w:rsid w:val="65A24FDC"/>
    <w:rsid w:val="65B143A1"/>
    <w:rsid w:val="65BC38FA"/>
    <w:rsid w:val="65BD756D"/>
    <w:rsid w:val="65D34E1F"/>
    <w:rsid w:val="65E51041"/>
    <w:rsid w:val="65E73706"/>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907CBA"/>
    <w:rsid w:val="6E9C69C9"/>
    <w:rsid w:val="6F2F68AF"/>
    <w:rsid w:val="6F6202A3"/>
    <w:rsid w:val="6F7E161A"/>
    <w:rsid w:val="6F7E4E22"/>
    <w:rsid w:val="6FE9748C"/>
    <w:rsid w:val="6FF22BB7"/>
    <w:rsid w:val="700B0E96"/>
    <w:rsid w:val="70225941"/>
    <w:rsid w:val="702B1AB4"/>
    <w:rsid w:val="70554A83"/>
    <w:rsid w:val="706A6145"/>
    <w:rsid w:val="707225C4"/>
    <w:rsid w:val="70BD582F"/>
    <w:rsid w:val="70C819F6"/>
    <w:rsid w:val="70D36CD3"/>
    <w:rsid w:val="713C49CE"/>
    <w:rsid w:val="71677575"/>
    <w:rsid w:val="71E55CDC"/>
    <w:rsid w:val="71EB4B71"/>
    <w:rsid w:val="71F14425"/>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2021-10-15T03:23:38Z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