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85" w:lineRule="atLeast"/>
        <w:ind w:right="0"/>
        <w:jc w:val="left"/>
        <w:rPr>
          <w:rStyle w:val="5"/>
          <w:rFonts w:hint="eastAsia" w:asciiTheme="minorEastAsia" w:hAnsiTheme="minorEastAsia" w:eastAsiaTheme="minorEastAsia" w:cstheme="minorEastAsia"/>
          <w:b w:val="0"/>
          <w:bCs/>
          <w:kern w:val="0"/>
          <w:sz w:val="21"/>
          <w:szCs w:val="21"/>
          <w:lang w:val="en-US" w:eastAsia="zh-CN" w:bidi="ar"/>
        </w:rPr>
      </w:pPr>
      <w:bookmarkStart w:id="0" w:name="OLE_LINK1"/>
      <w:bookmarkStart w:id="1" w:name="OLE_LINK3"/>
      <w:bookmarkStart w:id="2" w:name="OLE_LINK2"/>
      <w:bookmarkStart w:id="3" w:name="OLE_LINK4"/>
      <w:bookmarkStart w:id="4" w:name="OLE_LINK5"/>
      <w:bookmarkStart w:id="5" w:name="OLE_LINK6"/>
      <w:bookmarkStart w:id="6" w:name="OLE_LINK7"/>
      <w:r>
        <w:rPr>
          <w:rStyle w:val="5"/>
          <w:rFonts w:hint="eastAsia" w:asciiTheme="minorEastAsia" w:hAnsiTheme="minorEastAsia" w:eastAsiaTheme="minorEastAsia" w:cstheme="minorEastAsia"/>
          <w:b w:val="0"/>
          <w:bCs/>
          <w:kern w:val="0"/>
          <w:sz w:val="21"/>
          <w:szCs w:val="21"/>
          <w:lang w:val="en-US" w:eastAsia="zh-CN" w:bidi="ar"/>
        </w:rPr>
        <w:t>PZ114型直流数字电压表技术参数</w:t>
      </w:r>
    </w:p>
    <w:p>
      <w:pPr>
        <w:keepNext w:val="0"/>
        <w:keepLines w:val="0"/>
        <w:widowControl/>
        <w:suppressLineNumbers w:val="0"/>
        <w:spacing w:before="0" w:beforeAutospacing="0" w:after="0" w:afterAutospacing="0" w:line="285" w:lineRule="atLeast"/>
        <w:ind w:right="0"/>
        <w:jc w:val="left"/>
        <w:rPr>
          <w:rStyle w:val="5"/>
          <w:rFonts w:hint="eastAsia" w:asciiTheme="minorEastAsia" w:hAnsiTheme="minorEastAsia" w:eastAsiaTheme="minorEastAsia" w:cstheme="minorEastAsia"/>
          <w:b w:val="0"/>
          <w:bCs/>
          <w:kern w:val="0"/>
          <w:sz w:val="21"/>
          <w:szCs w:val="21"/>
          <w:lang w:val="en-US" w:eastAsia="zh-CN" w:bidi="ar"/>
        </w:rPr>
      </w:pPr>
    </w:p>
    <w:p>
      <w:pPr>
        <w:keepNext w:val="0"/>
        <w:keepLines w:val="0"/>
        <w:widowControl/>
        <w:suppressLineNumbers w:val="0"/>
        <w:spacing w:before="0" w:beforeAutospacing="0" w:after="0" w:afterAutospacing="0" w:line="285" w:lineRule="atLeast"/>
        <w:ind w:right="0"/>
        <w:jc w:val="left"/>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PZ114型直流数字电压表是一种采用CMOS大规模集成电路的4½位仪表，其测量结果用六位LED显示。该表具有体积小、功耗低、分辨力高、可靠性好、适应性强以及使用方便等特点，尤其是该表的自动转换量程功能，用户在面板键置自动时，可直接显示10µV—200V的被测读数。因此，它与各种传感器或转换器相配合可方便地实现各种电量和非电量的数字化测量，是实验室和工业现场的理想仪表。</w:t>
      </w:r>
    </w:p>
    <w:p>
      <w:pPr>
        <w:keepNext w:val="0"/>
        <w:keepLines w:val="0"/>
        <w:widowControl/>
        <w:suppressLineNumbers w:val="0"/>
        <w:spacing w:before="0" w:beforeAutospacing="0" w:after="0" w:afterAutospacing="0" w:line="285" w:lineRule="atLeast"/>
        <w:ind w:left="0" w:right="0" w:firstLine="425"/>
        <w:jc w:val="left"/>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 </w:t>
      </w:r>
    </w:p>
    <w:p>
      <w:pPr>
        <w:keepNext w:val="0"/>
        <w:keepLines w:val="0"/>
        <w:widowControl/>
        <w:numPr>
          <w:ilvl w:val="0"/>
          <w:numId w:val="0"/>
        </w:numPr>
        <w:suppressLineNumbers w:val="0"/>
        <w:tabs>
          <w:tab w:val="left" w:pos="420"/>
          <w:tab w:val="left" w:pos="54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u</w:t>
      </w:r>
      <w:r>
        <w:rPr>
          <w:rStyle w:val="5"/>
          <w:rFonts w:hint="eastAsia" w:asciiTheme="minorEastAsia" w:hAnsiTheme="minorEastAsia" w:eastAsiaTheme="minorEastAsia" w:cstheme="minorEastAsia"/>
          <w:b w:val="0"/>
          <w:bCs/>
          <w:kern w:val="0"/>
          <w:sz w:val="21"/>
          <w:szCs w:val="21"/>
          <w:lang w:val="en-US" w:eastAsia="zh-CN" w:bidi="ar"/>
        </w:rPr>
        <w:t>技术数据</w:t>
      </w:r>
    </w:p>
    <w:p>
      <w:pPr>
        <w:keepNext w:val="0"/>
        <w:keepLines w:val="0"/>
        <w:widowControl/>
        <w:suppressLineNumbers w:val="0"/>
        <w:spacing w:before="0" w:beforeAutospacing="0" w:after="0" w:afterAutospacing="0" w:line="264" w:lineRule="auto"/>
        <w:ind w:right="0"/>
        <w:jc w:val="left"/>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量程、测量范围、分辨力及基本误差：产品在参比条件下，基本误差符合下表规定。</w:t>
      </w:r>
    </w:p>
    <w:p>
      <w:pPr>
        <w:keepNext w:val="0"/>
        <w:keepLines w:val="0"/>
        <w:widowControl/>
        <w:suppressLineNumbers w:val="0"/>
        <w:spacing w:before="0" w:beforeAutospacing="0" w:after="0" w:afterAutospacing="0" w:line="285" w:lineRule="atLeast"/>
        <w:ind w:left="0" w:right="0"/>
        <w:jc w:val="left"/>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 </w:t>
      </w:r>
    </w:p>
    <w:tbl>
      <w:tblPr>
        <w:tblStyle w:val="8"/>
        <w:tblW w:w="54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7"/>
        <w:gridCol w:w="1148"/>
        <w:gridCol w:w="945"/>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量 程</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测量范围</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分辨力</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基 本 误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200mV</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0-199.99mV</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10μV</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±(0.04%RD+0.015%FS)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2V</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0-1.9999V</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100μV</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±(0.03%RD+0.01%FS)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20V</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0-19.999V</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1mV</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±(0.04%RD+0.015%FS)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200V</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0-199.99V</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10mV</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±(0.04%RD+0.01%FS)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9"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1000V</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0-1000.0V</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100mV</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±(0.04%RD+0.01%FS)</w:t>
            </w:r>
          </w:p>
        </w:tc>
      </w:tr>
    </w:tbl>
    <w:p>
      <w:pPr>
        <w:keepNext w:val="0"/>
        <w:keepLines w:val="0"/>
        <w:widowControl/>
        <w:suppressLineNumbers w:val="0"/>
        <w:spacing w:before="0" w:beforeAutospacing="0" w:after="0" w:afterAutospacing="0" w:line="285" w:lineRule="atLeast"/>
        <w:ind w:left="0" w:right="0"/>
        <w:jc w:val="left"/>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 </w:t>
      </w:r>
    </w:p>
    <w:p>
      <w:pPr>
        <w:keepNext w:val="0"/>
        <w:keepLines w:val="0"/>
        <w:widowControl/>
        <w:numPr>
          <w:ilvl w:val="0"/>
          <w:numId w:val="0"/>
        </w:numPr>
        <w:suppressLineNumbers w:val="0"/>
        <w:tabs>
          <w:tab w:val="left" w:pos="420"/>
        </w:tabs>
        <w:spacing w:before="0" w:beforeAutospacing="0" w:after="0" w:afterAutospacing="0" w:line="285" w:lineRule="atLeast"/>
        <w:ind w:left="420" w:right="0" w:hanging="420"/>
        <w:jc w:val="left"/>
        <w:rPr>
          <w:rStyle w:val="5"/>
          <w:rFonts w:hint="eastAsia" w:asciiTheme="minorEastAsia" w:hAnsiTheme="minorEastAsia" w:eastAsiaTheme="minorEastAsia" w:cstheme="minorEastAsia"/>
          <w:b w:val="0"/>
          <w:bCs/>
          <w:kern w:val="0"/>
          <w:sz w:val="21"/>
          <w:szCs w:val="21"/>
          <w:lang w:val="en-US" w:eastAsia="zh-CN" w:bidi="ar"/>
        </w:rPr>
      </w:pPr>
      <w:r>
        <w:rPr>
          <w:rFonts w:hint="eastAsia" w:asciiTheme="minorEastAsia" w:hAnsiTheme="minorEastAsia" w:eastAsiaTheme="minorEastAsia" w:cstheme="minorEastAsia"/>
          <w:b w:val="0"/>
          <w:bCs/>
          <w:kern w:val="0"/>
          <w:sz w:val="21"/>
          <w:szCs w:val="21"/>
          <w:lang w:val="en-US" w:eastAsia="zh-CN" w:bidi="ar"/>
        </w:rPr>
        <w:t>u</w:t>
      </w:r>
      <w:r>
        <w:rPr>
          <w:rStyle w:val="5"/>
          <w:rFonts w:hint="eastAsia" w:asciiTheme="minorEastAsia" w:hAnsiTheme="minorEastAsia" w:eastAsiaTheme="minorEastAsia" w:cstheme="minorEastAsia"/>
          <w:b w:val="0"/>
          <w:bCs/>
          <w:kern w:val="0"/>
          <w:sz w:val="21"/>
          <w:szCs w:val="21"/>
          <w:lang w:val="en-US" w:eastAsia="zh-CN" w:bidi="ar"/>
        </w:rPr>
        <w:t>外形尺寸：88×215×285mm</w:t>
      </w:r>
      <w:bookmarkEnd w:id="0"/>
    </w:p>
    <w:p>
      <w:pPr>
        <w:keepNext w:val="0"/>
        <w:keepLines w:val="0"/>
        <w:widowControl/>
        <w:numPr>
          <w:ilvl w:val="0"/>
          <w:numId w:val="0"/>
        </w:numPr>
        <w:suppressLineNumbers w:val="0"/>
        <w:tabs>
          <w:tab w:val="left" w:pos="420"/>
        </w:tabs>
        <w:spacing w:before="0" w:beforeAutospacing="0" w:after="0" w:afterAutospacing="0" w:line="285" w:lineRule="atLeast"/>
        <w:ind w:left="420" w:right="0" w:hanging="420"/>
        <w:jc w:val="left"/>
        <w:rPr>
          <w:rStyle w:val="5"/>
          <w:rFonts w:hint="eastAsia" w:asciiTheme="minorEastAsia" w:hAnsiTheme="minorEastAsia" w:eastAsiaTheme="minorEastAsia" w:cstheme="minorEastAsia"/>
          <w:b w:val="0"/>
          <w:bCs/>
          <w:kern w:val="0"/>
          <w:sz w:val="21"/>
          <w:szCs w:val="21"/>
          <w:lang w:val="en-US" w:eastAsia="zh-CN" w:bidi="ar"/>
        </w:rPr>
      </w:pPr>
    </w:p>
    <w:bookmarkEnd w:id="1"/>
    <w:bookmarkEnd w:id="2"/>
    <w:bookmarkEnd w:id="3"/>
    <w:bookmarkEnd w:id="4"/>
    <w:bookmarkEnd w:id="5"/>
    <w:bookmarkEnd w:id="6"/>
    <w:p>
      <w:pPr>
        <w:pStyle w:val="3"/>
        <w:keepNext w:val="0"/>
        <w:keepLines w:val="0"/>
        <w:widowControl/>
        <w:suppressLineNumbers w:val="0"/>
        <w:spacing w:line="285" w:lineRule="atLeast"/>
        <w:rPr>
          <w:rStyle w:val="5"/>
          <w:rFonts w:hint="eastAsia" w:asciiTheme="minorEastAsia" w:hAnsiTheme="minorEastAsia" w:eastAsiaTheme="minorEastAsia" w:cstheme="minorEastAsia"/>
          <w:b w:val="0"/>
          <w:bCs/>
          <w:kern w:val="0"/>
          <w:sz w:val="21"/>
          <w:szCs w:val="21"/>
          <w:lang w:val="en-US" w:eastAsia="zh-CN" w:bidi="ar"/>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bookmarkStart w:id="7" w:name="_GoBack"/>
      <w:bookmarkEnd w:id="7"/>
    </w:p>
    <w:sectPr>
      <w:pgSz w:w="12240" w:h="15840"/>
      <w:pgMar w:top="1440" w:right="1800" w:bottom="1440" w:left="1800" w:header="720" w:footer="720"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A54EA"/>
    <w:rsid w:val="004A2E3F"/>
    <w:rsid w:val="006C731D"/>
    <w:rsid w:val="0325513D"/>
    <w:rsid w:val="045B30FC"/>
    <w:rsid w:val="055B60C6"/>
    <w:rsid w:val="07906C14"/>
    <w:rsid w:val="08FE7414"/>
    <w:rsid w:val="0A3031A7"/>
    <w:rsid w:val="0A746B4A"/>
    <w:rsid w:val="0B7174A2"/>
    <w:rsid w:val="0CB06361"/>
    <w:rsid w:val="0CB177B4"/>
    <w:rsid w:val="0F0D04E7"/>
    <w:rsid w:val="0FE40F9E"/>
    <w:rsid w:val="104C6F9B"/>
    <w:rsid w:val="12267A23"/>
    <w:rsid w:val="13A543D9"/>
    <w:rsid w:val="14BF5A7D"/>
    <w:rsid w:val="15F120D3"/>
    <w:rsid w:val="17AC7AD8"/>
    <w:rsid w:val="18926F94"/>
    <w:rsid w:val="18ED59C2"/>
    <w:rsid w:val="1A5B788C"/>
    <w:rsid w:val="1F324F2F"/>
    <w:rsid w:val="22494DD8"/>
    <w:rsid w:val="22AA3764"/>
    <w:rsid w:val="23D80513"/>
    <w:rsid w:val="253F163F"/>
    <w:rsid w:val="272C42DC"/>
    <w:rsid w:val="27B657E1"/>
    <w:rsid w:val="27E70268"/>
    <w:rsid w:val="2AA47B40"/>
    <w:rsid w:val="2B8E0737"/>
    <w:rsid w:val="2BA67E25"/>
    <w:rsid w:val="2BB31E8B"/>
    <w:rsid w:val="2C6A54EA"/>
    <w:rsid w:val="31973079"/>
    <w:rsid w:val="32716D58"/>
    <w:rsid w:val="34210FE6"/>
    <w:rsid w:val="351D41CA"/>
    <w:rsid w:val="358C5B66"/>
    <w:rsid w:val="394F4C33"/>
    <w:rsid w:val="398F669B"/>
    <w:rsid w:val="3BCF0DD8"/>
    <w:rsid w:val="3C7B3FDF"/>
    <w:rsid w:val="3D2F04A0"/>
    <w:rsid w:val="40D71F5C"/>
    <w:rsid w:val="41774C3C"/>
    <w:rsid w:val="43064CEC"/>
    <w:rsid w:val="436D34C5"/>
    <w:rsid w:val="43B92BEB"/>
    <w:rsid w:val="455A588E"/>
    <w:rsid w:val="48314F52"/>
    <w:rsid w:val="4A33473D"/>
    <w:rsid w:val="4ACE014B"/>
    <w:rsid w:val="4BFD2B78"/>
    <w:rsid w:val="4D07722C"/>
    <w:rsid w:val="4D6D56E0"/>
    <w:rsid w:val="5397480A"/>
    <w:rsid w:val="554F122C"/>
    <w:rsid w:val="56C60B08"/>
    <w:rsid w:val="598D2382"/>
    <w:rsid w:val="5A43485C"/>
    <w:rsid w:val="5D3C5FA8"/>
    <w:rsid w:val="609D0914"/>
    <w:rsid w:val="60BB4309"/>
    <w:rsid w:val="60CA0742"/>
    <w:rsid w:val="665F33CC"/>
    <w:rsid w:val="67CC63E5"/>
    <w:rsid w:val="69766602"/>
    <w:rsid w:val="69A4220E"/>
    <w:rsid w:val="69BB7501"/>
    <w:rsid w:val="6A040A54"/>
    <w:rsid w:val="6A7F274D"/>
    <w:rsid w:val="6BA31FF4"/>
    <w:rsid w:val="6F213EF3"/>
    <w:rsid w:val="6FFB300E"/>
    <w:rsid w:val="7140339D"/>
    <w:rsid w:val="721A457F"/>
    <w:rsid w:val="728B570E"/>
    <w:rsid w:val="733F373F"/>
    <w:rsid w:val="74C462E4"/>
    <w:rsid w:val="77766F7B"/>
    <w:rsid w:val="78987448"/>
    <w:rsid w:val="78D73C71"/>
    <w:rsid w:val="79C961E5"/>
    <w:rsid w:val="79CA50B1"/>
    <w:rsid w:val="7B1E6A41"/>
    <w:rsid w:val="7B4C653A"/>
    <w:rsid w:val="7E200171"/>
    <w:rsid w:val="7E6337DA"/>
    <w:rsid w:val="7F0F1943"/>
    <w:rsid w:val="7F681192"/>
    <w:rsid w:val="7FCD70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66CC"/>
      <w:u w:val="non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536</Words>
  <Characters>718</Characters>
  <Lines>0</Lines>
  <Paragraphs>0</Paragraphs>
  <ScaleCrop>false</ScaleCrop>
  <LinksUpToDate>false</LinksUpToDate>
  <CharactersWithSpaces>731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2025-04-24T08:26:00Z</dcterms:created>
  <dc:creator>DELL</dc:creator>
  <cp:lastModifiedBy>DELL</cp:lastModifiedBy>
  <dcterms:modified xsi:type="dcterms:W3CDTF">2025-10-10T03:28:53Z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