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Theme="minorEastAsia" w:hAnsiTheme="minorEastAsia" w:eastAsiaTheme="minorEastAsia" w:cstheme="minorEastAsia"/>
          <w:sz w:val="21"/>
          <w:szCs w:val="21"/>
          <w:lang w:val="en-US" w:eastAsia="zh-CN"/>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r>
        <w:rPr>
          <w:rFonts w:hint="eastAsia" w:asciiTheme="minorEastAsia" w:hAnsiTheme="minorEastAsia" w:eastAsiaTheme="minorEastAsia" w:cstheme="minorEastAsia"/>
          <w:sz w:val="21"/>
          <w:szCs w:val="21"/>
          <w:lang w:val="en-US" w:eastAsia="zh-CN"/>
        </w:rPr>
        <w:t>ZX68C+兆欧表标准电阻器用途及技术</w:t>
      </w:r>
      <w:bookmarkStart w:id="8" w:name="_GoBack"/>
      <w:bookmarkEnd w:id="8"/>
      <w:r>
        <w:rPr>
          <w:rFonts w:hint="eastAsia" w:asciiTheme="minorEastAsia" w:hAnsiTheme="minorEastAsia" w:eastAsiaTheme="minorEastAsia" w:cstheme="minorEastAsia"/>
          <w:sz w:val="21"/>
          <w:szCs w:val="21"/>
          <w:lang w:val="en-US" w:eastAsia="zh-CN"/>
        </w:rPr>
        <w:t>特点</w:t>
      </w:r>
    </w:p>
    <w:p>
      <w:pPr>
        <w:widowControl w:val="0"/>
        <w:numPr>
          <w:ilvl w:val="0"/>
          <w:numId w:val="0"/>
        </w:numPr>
        <w:jc w:val="both"/>
        <w:rPr>
          <w:rFonts w:hint="eastAsia" w:asciiTheme="minorEastAsia" w:hAnsiTheme="minorEastAsia" w:eastAsiaTheme="minorEastAsia" w:cstheme="minorEastAsia"/>
          <w:sz w:val="21"/>
          <w:szCs w:val="21"/>
          <w:lang w:val="en-US" w:eastAsia="zh-CN"/>
        </w:rPr>
      </w:pPr>
    </w:p>
    <w:p>
      <w:pPr>
        <w:widowControl w:val="0"/>
        <w:numPr>
          <w:ilvl w:val="0"/>
          <w:numId w:val="1"/>
        </w:numPr>
        <w:jc w:val="both"/>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t>概述</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中华人民共和国国家计量检定规程《JJG622－97绝缘电阻表（兆欧表）》，用来检定兆欧表而设计的2万兆欧旋转式标准电阻器。它具有阻值调节范围宽，使用方便等优点。与我厂ZX124C型多功能试验箱和CY3型恒速器配套，可对绝缘电阻表的所有项目进行检定。</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二、用途</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1、检定额定电压为2500V或低于2500V的各类绝缘电阻表。</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2、供各类绝缘电阻表生产或修理中刻划标度盘。</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3、适用于绝缘高阻计的校对或检定。</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4、作高、中阻值标准电阻箱使用。</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rPr>
      </w:pP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三、技术指标</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1、本电阻器由固定电阻10KM和8只十进盘可调电阻串联而成，即：1×10KMΩ＋10×(1000M＋100M＋10M＋1M＋100K＋10K＋1K+0.1K）Ω。电阻值调节范围为11111.1110MΩ和21111.1110MΩ，最小步进值为100Ω。</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2、各十进盘的等级指数和使用电压或电流（即参考电压或电流）见表1：</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3、残余电阻值＜0.1Ω，变差＜0.01Ω。</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4、环境的参考条件为温度23   ℃，相对湿度40％～60％。</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5、环境的标称使用范围为 : 温度     23±5℃，</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                         相对湿度 25％～75％。</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6、线路对外壳的绝缘电阻＞1×1012Ω。</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7、线路对外壳的绝缘强度能承受50Hz正弦波交流电压  5KV，历时1分钟不击穿。</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8、本电阻器外形尺寸：490×249×171 mm。</w:t>
      </w:r>
      <w:r>
        <w:rPr>
          <w:rFonts w:hint="eastAsia" w:asciiTheme="minorEastAsia" w:hAnsiTheme="minorEastAsia" w:eastAsiaTheme="minorEastAsia" w:cstheme="minorEastAsia"/>
          <w:i w:val="0"/>
          <w:caps w:val="0"/>
          <w:color w:val="000000"/>
          <w:spacing w:val="0"/>
          <w:sz w:val="21"/>
          <w:szCs w:val="21"/>
          <w:shd w:val="clear" w:fill="FFFFFF"/>
        </w:rPr>
        <w:br w:type="textWrapping"/>
      </w:r>
      <w:r>
        <w:rPr>
          <w:rFonts w:hint="eastAsia" w:asciiTheme="minorEastAsia" w:hAnsiTheme="minorEastAsia" w:eastAsiaTheme="minorEastAsia" w:cstheme="minorEastAsia"/>
          <w:i w:val="0"/>
          <w:caps w:val="0"/>
          <w:color w:val="000000"/>
          <w:spacing w:val="0"/>
          <w:sz w:val="21"/>
          <w:szCs w:val="21"/>
          <w:shd w:val="clear" w:fill="FFFFFF"/>
        </w:rPr>
        <w:t>9、重量：＜15kg</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使用方法 </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检定兆欧表时，按下图接线:</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1、电阻器与被检表之间的连接线应采用我厂配置的专用线或单芯塑料硬线悬空连接。</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2、将被检表的E、L、G分别对应接至ZX68C高阻箱的对应接线端。.     </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3、连好接线后，即可按《JJG622－97绝缘电阻表（兆欧表）》检定规程规定的操作步骤和方法进行检定。根据被检表刻度调节高阻箱的开关，使被检表指针准确指示在被检值的刻度线，读取高阻箱示值即为实测值，与标称值计算相对误差值。</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注意事项    </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1、在检定本电阻器时，应在温度20～25℃，相对湿度40～60％，且应有足够的稳定时间。  </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2、正确使用电阻器，在使用前应将各旋钮从0～10挡来回转动数次，使其接触稳定可靠。</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3、电阻器在使用时，应注意实际施加在电阻器上的电压，不要超过主要承受电压读数盘的电压，以免造成电阻超差或烧坏元件。</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 xml:space="preserve">4、电阻器应存放在环境温度为10～30℃,相对湿度 ≤75％且无腐蚀性气体、无露水、无阳光直接照射的室内。   </w:t>
      </w:r>
    </w:p>
    <w:p>
      <w:pPr>
        <w:widowControl w:val="0"/>
        <w:numPr>
          <w:ilvl w:val="0"/>
          <w:numId w:val="0"/>
        </w:numPr>
        <w:jc w:val="both"/>
        <w:rPr>
          <w:rFonts w:hint="eastAsia" w:asciiTheme="minorEastAsia" w:hAnsiTheme="minorEastAsia" w:eastAsiaTheme="minorEastAsia" w:cstheme="minorEastAsia"/>
          <w:i w:val="0"/>
          <w:caps w:val="0"/>
          <w:color w:val="000000"/>
          <w:spacing w:val="0"/>
          <w:sz w:val="21"/>
          <w:szCs w:val="21"/>
          <w:shd w:val="clear" w:fill="FFFFFF"/>
          <w:lang w:val="en-US" w:eastAsia="zh-CN"/>
        </w:rPr>
      </w:pPr>
    </w:p>
    <w:bookmarkEnd w:id="0"/>
    <w:bookmarkEnd w:id="1"/>
    <w:bookmarkEnd w:id="2"/>
    <w:bookmarkEnd w:id="3"/>
    <w:bookmarkEnd w:id="4"/>
    <w:bookmarkEnd w:id="5"/>
    <w:bookmarkEnd w:id="6"/>
    <w:bookmarkEnd w:id="7"/>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BBD39"/>
    <w:multiLevelType w:val="singleLevel"/>
    <w:tmpl w:val="69BBBD3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2C49"/>
    <w:rsid w:val="00446DBF"/>
    <w:rsid w:val="00A16BD1"/>
    <w:rsid w:val="00B6536A"/>
    <w:rsid w:val="0112299F"/>
    <w:rsid w:val="01495F3F"/>
    <w:rsid w:val="0152464D"/>
    <w:rsid w:val="01C25F75"/>
    <w:rsid w:val="020F2F50"/>
    <w:rsid w:val="03915F50"/>
    <w:rsid w:val="04360C6B"/>
    <w:rsid w:val="0457499A"/>
    <w:rsid w:val="04737EDE"/>
    <w:rsid w:val="04A9008B"/>
    <w:rsid w:val="057F5729"/>
    <w:rsid w:val="05C727F7"/>
    <w:rsid w:val="08662EF0"/>
    <w:rsid w:val="08BA4C0D"/>
    <w:rsid w:val="08DC3C90"/>
    <w:rsid w:val="0A04262E"/>
    <w:rsid w:val="0A171AA3"/>
    <w:rsid w:val="0A847FD9"/>
    <w:rsid w:val="0B497E0C"/>
    <w:rsid w:val="0B644DC8"/>
    <w:rsid w:val="0B854ABE"/>
    <w:rsid w:val="0CF8478C"/>
    <w:rsid w:val="0D632207"/>
    <w:rsid w:val="0E4912AA"/>
    <w:rsid w:val="0E9B3613"/>
    <w:rsid w:val="0F3A32AC"/>
    <w:rsid w:val="0FE07A2D"/>
    <w:rsid w:val="100E0EBA"/>
    <w:rsid w:val="101C6AD5"/>
    <w:rsid w:val="109A27BA"/>
    <w:rsid w:val="10DB34AD"/>
    <w:rsid w:val="1186580A"/>
    <w:rsid w:val="11B0154A"/>
    <w:rsid w:val="11F601FB"/>
    <w:rsid w:val="12D40D00"/>
    <w:rsid w:val="137A0491"/>
    <w:rsid w:val="13AE7FC9"/>
    <w:rsid w:val="15A05037"/>
    <w:rsid w:val="16080FF1"/>
    <w:rsid w:val="16FD05DD"/>
    <w:rsid w:val="172F7B93"/>
    <w:rsid w:val="17B41505"/>
    <w:rsid w:val="183948C8"/>
    <w:rsid w:val="18D92466"/>
    <w:rsid w:val="195F2A9B"/>
    <w:rsid w:val="19F91123"/>
    <w:rsid w:val="1A4F0789"/>
    <w:rsid w:val="1A7A3A35"/>
    <w:rsid w:val="1B941532"/>
    <w:rsid w:val="1C2678A3"/>
    <w:rsid w:val="1C78310F"/>
    <w:rsid w:val="1CDC6F72"/>
    <w:rsid w:val="1D5B1BCD"/>
    <w:rsid w:val="1D7E17CE"/>
    <w:rsid w:val="1DEE7D66"/>
    <w:rsid w:val="1E7A2EA8"/>
    <w:rsid w:val="1F920D07"/>
    <w:rsid w:val="20382AD6"/>
    <w:rsid w:val="211D19CB"/>
    <w:rsid w:val="215E3F2C"/>
    <w:rsid w:val="228D072B"/>
    <w:rsid w:val="23CF627E"/>
    <w:rsid w:val="23EB08B0"/>
    <w:rsid w:val="246C4305"/>
    <w:rsid w:val="24BD12D8"/>
    <w:rsid w:val="24F017CB"/>
    <w:rsid w:val="252C5F7E"/>
    <w:rsid w:val="26251E0B"/>
    <w:rsid w:val="26691AF1"/>
    <w:rsid w:val="27587D22"/>
    <w:rsid w:val="27935FBA"/>
    <w:rsid w:val="27B40A0C"/>
    <w:rsid w:val="28685570"/>
    <w:rsid w:val="28B91FCC"/>
    <w:rsid w:val="295C34FB"/>
    <w:rsid w:val="296931A3"/>
    <w:rsid w:val="29BF5FE0"/>
    <w:rsid w:val="29C22D5D"/>
    <w:rsid w:val="29EC39EA"/>
    <w:rsid w:val="29ED254D"/>
    <w:rsid w:val="2A474157"/>
    <w:rsid w:val="2B3935DA"/>
    <w:rsid w:val="2B954E40"/>
    <w:rsid w:val="2BB955DD"/>
    <w:rsid w:val="2BC44150"/>
    <w:rsid w:val="2D1F1DDD"/>
    <w:rsid w:val="2DC07706"/>
    <w:rsid w:val="2DEA68E8"/>
    <w:rsid w:val="2E310E7C"/>
    <w:rsid w:val="2E4544B7"/>
    <w:rsid w:val="2E875572"/>
    <w:rsid w:val="2ED47EE2"/>
    <w:rsid w:val="2F767274"/>
    <w:rsid w:val="30123838"/>
    <w:rsid w:val="30DF2137"/>
    <w:rsid w:val="30F43B9D"/>
    <w:rsid w:val="31B0158E"/>
    <w:rsid w:val="323629D3"/>
    <w:rsid w:val="32B67EE6"/>
    <w:rsid w:val="33BE0531"/>
    <w:rsid w:val="3479734C"/>
    <w:rsid w:val="35407E57"/>
    <w:rsid w:val="35922D63"/>
    <w:rsid w:val="35A8390D"/>
    <w:rsid w:val="36314AB3"/>
    <w:rsid w:val="37245CD4"/>
    <w:rsid w:val="3742768A"/>
    <w:rsid w:val="3912093F"/>
    <w:rsid w:val="3A4D1599"/>
    <w:rsid w:val="3A5F2528"/>
    <w:rsid w:val="3B090597"/>
    <w:rsid w:val="3CE94863"/>
    <w:rsid w:val="3CF82FE1"/>
    <w:rsid w:val="3DD22FCD"/>
    <w:rsid w:val="3E2147D6"/>
    <w:rsid w:val="3E23596D"/>
    <w:rsid w:val="3E6424FA"/>
    <w:rsid w:val="3E8C7983"/>
    <w:rsid w:val="3F1A0CC1"/>
    <w:rsid w:val="40AE06AD"/>
    <w:rsid w:val="40C934F7"/>
    <w:rsid w:val="41FA3E92"/>
    <w:rsid w:val="420C5E8C"/>
    <w:rsid w:val="42116205"/>
    <w:rsid w:val="421D1B71"/>
    <w:rsid w:val="4246406B"/>
    <w:rsid w:val="42520FBC"/>
    <w:rsid w:val="429C4717"/>
    <w:rsid w:val="42CD4B6C"/>
    <w:rsid w:val="43292D36"/>
    <w:rsid w:val="43422568"/>
    <w:rsid w:val="43467877"/>
    <w:rsid w:val="434F54CC"/>
    <w:rsid w:val="43F22F65"/>
    <w:rsid w:val="45574AD9"/>
    <w:rsid w:val="4579642C"/>
    <w:rsid w:val="45D527B2"/>
    <w:rsid w:val="46E616A0"/>
    <w:rsid w:val="477A3AB5"/>
    <w:rsid w:val="489C6348"/>
    <w:rsid w:val="48B017C1"/>
    <w:rsid w:val="49635947"/>
    <w:rsid w:val="49E22EEB"/>
    <w:rsid w:val="49FB4F3E"/>
    <w:rsid w:val="4B4D6CA5"/>
    <w:rsid w:val="4BE50D8A"/>
    <w:rsid w:val="4BEA04BD"/>
    <w:rsid w:val="4C605322"/>
    <w:rsid w:val="4D2869C1"/>
    <w:rsid w:val="4D4624C1"/>
    <w:rsid w:val="4E3069E2"/>
    <w:rsid w:val="4E921EAB"/>
    <w:rsid w:val="4F352C63"/>
    <w:rsid w:val="510A7841"/>
    <w:rsid w:val="52C16061"/>
    <w:rsid w:val="52C30C8B"/>
    <w:rsid w:val="533F68EB"/>
    <w:rsid w:val="535972A1"/>
    <w:rsid w:val="54D21846"/>
    <w:rsid w:val="54E64628"/>
    <w:rsid w:val="54F67D48"/>
    <w:rsid w:val="55ED3DAE"/>
    <w:rsid w:val="56135102"/>
    <w:rsid w:val="563D2584"/>
    <w:rsid w:val="56C07B54"/>
    <w:rsid w:val="56DA71F0"/>
    <w:rsid w:val="57983307"/>
    <w:rsid w:val="579B5BCE"/>
    <w:rsid w:val="5843128C"/>
    <w:rsid w:val="58534479"/>
    <w:rsid w:val="58FF726F"/>
    <w:rsid w:val="59176758"/>
    <w:rsid w:val="59963983"/>
    <w:rsid w:val="5BA259C7"/>
    <w:rsid w:val="5C070B64"/>
    <w:rsid w:val="5C517919"/>
    <w:rsid w:val="5C762856"/>
    <w:rsid w:val="5CA84746"/>
    <w:rsid w:val="5D513F51"/>
    <w:rsid w:val="5DDE53A2"/>
    <w:rsid w:val="5DF35D76"/>
    <w:rsid w:val="5E277C28"/>
    <w:rsid w:val="5E3C4477"/>
    <w:rsid w:val="5EBA0DBC"/>
    <w:rsid w:val="610E4408"/>
    <w:rsid w:val="6126307D"/>
    <w:rsid w:val="613152CA"/>
    <w:rsid w:val="61B75D30"/>
    <w:rsid w:val="62101B36"/>
    <w:rsid w:val="62C42687"/>
    <w:rsid w:val="62E019A0"/>
    <w:rsid w:val="63293FB8"/>
    <w:rsid w:val="635E44AE"/>
    <w:rsid w:val="63756487"/>
    <w:rsid w:val="63A31FA4"/>
    <w:rsid w:val="64133272"/>
    <w:rsid w:val="644316E4"/>
    <w:rsid w:val="652A01F2"/>
    <w:rsid w:val="66515270"/>
    <w:rsid w:val="668A6F30"/>
    <w:rsid w:val="66CE66DF"/>
    <w:rsid w:val="66CE7923"/>
    <w:rsid w:val="673A64BA"/>
    <w:rsid w:val="68474994"/>
    <w:rsid w:val="69185026"/>
    <w:rsid w:val="692C4846"/>
    <w:rsid w:val="693F2C49"/>
    <w:rsid w:val="69C839B0"/>
    <w:rsid w:val="69FB5767"/>
    <w:rsid w:val="6A3C0CCF"/>
    <w:rsid w:val="6B0D46C4"/>
    <w:rsid w:val="6B546669"/>
    <w:rsid w:val="6C697DEB"/>
    <w:rsid w:val="6C6E4E0C"/>
    <w:rsid w:val="6D817983"/>
    <w:rsid w:val="6E1E1567"/>
    <w:rsid w:val="6E265F42"/>
    <w:rsid w:val="6E4D0837"/>
    <w:rsid w:val="6EE212ED"/>
    <w:rsid w:val="6F6C6959"/>
    <w:rsid w:val="6F92638F"/>
    <w:rsid w:val="6F9D620C"/>
    <w:rsid w:val="701E5541"/>
    <w:rsid w:val="72983C11"/>
    <w:rsid w:val="72B17023"/>
    <w:rsid w:val="72F75301"/>
    <w:rsid w:val="72FD2C63"/>
    <w:rsid w:val="738E4EC9"/>
    <w:rsid w:val="74D13105"/>
    <w:rsid w:val="75544506"/>
    <w:rsid w:val="75D87029"/>
    <w:rsid w:val="75F631D1"/>
    <w:rsid w:val="761A635A"/>
    <w:rsid w:val="765A038A"/>
    <w:rsid w:val="76606303"/>
    <w:rsid w:val="766618A5"/>
    <w:rsid w:val="7764488A"/>
    <w:rsid w:val="78250F22"/>
    <w:rsid w:val="783223FC"/>
    <w:rsid w:val="788C753E"/>
    <w:rsid w:val="78DC1872"/>
    <w:rsid w:val="791651FE"/>
    <w:rsid w:val="7A803345"/>
    <w:rsid w:val="7AEB0D1E"/>
    <w:rsid w:val="7BB536F3"/>
    <w:rsid w:val="7CA85263"/>
    <w:rsid w:val="7D42596B"/>
    <w:rsid w:val="7D6D6A6A"/>
    <w:rsid w:val="7E5B779D"/>
    <w:rsid w:val="7F8C0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6CC"/>
      <w:u w:val="none"/>
    </w:rPr>
  </w:style>
  <w:style w:type="character" w:styleId="7">
    <w:name w:val="Hyperlink"/>
    <w:basedOn w:val="4"/>
    <w:qFormat/>
    <w:uiPriority w:val="0"/>
    <w:rPr>
      <w:color w:val="0000FF"/>
      <w:u w:val="singl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1071</Characters>
  <Lines>0</Lines>
  <Paragraphs>0</Paragraphs>
  <ScaleCrop>false</ScaleCrop>
  <LinksUpToDate>false</LinksUpToDate>
  <CharactersWithSpaces>1469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2025-04-24T08:22:00Z</dcterms:created>
  <dc:creator>DELL</dc:creator>
  <cp:lastModifiedBy>DELL</cp:lastModifiedBy>
  <cp:lastPrinted>2025-10-10T06:55:00Z</cp:lastPrinted>
  <dcterms:modified xsi:type="dcterms:W3CDTF">2026-03-20T09:12:12Z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